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63E" w:rsidRPr="00A1163E" w:rsidRDefault="00A1163E" w:rsidP="00A1163E">
      <w:pPr>
        <w:spacing w:before="100" w:beforeAutospacing="1"/>
        <w:rPr>
          <w:rFonts w:ascii="Times New Roman" w:hAnsi="Times New Roman" w:cs="Times New Roman"/>
          <w:b/>
          <w:sz w:val="24"/>
          <w:szCs w:val="24"/>
          <w:lang w:val="en-US"/>
        </w:rPr>
      </w:pPr>
      <w:r w:rsidRPr="00A1163E">
        <w:rPr>
          <w:rFonts w:ascii="Times New Roman" w:hAnsi="Times New Roman" w:cs="Times New Roman"/>
          <w:b/>
          <w:sz w:val="24"/>
          <w:szCs w:val="24"/>
          <w:lang w:val="en-US"/>
        </w:rPr>
        <w:t>Immunofluorescence Assay</w:t>
      </w:r>
      <w:r w:rsidR="004B6562">
        <w:rPr>
          <w:rFonts w:ascii="Times New Roman" w:hAnsi="Times New Roman" w:cs="Times New Roman"/>
          <w:b/>
          <w:sz w:val="24"/>
          <w:szCs w:val="24"/>
          <w:lang w:val="en-US"/>
        </w:rPr>
        <w:t xml:space="preserve"> Report</w:t>
      </w:r>
      <w:bookmarkStart w:id="0" w:name="_GoBack"/>
      <w:bookmarkEnd w:id="0"/>
    </w:p>
    <w:p w:rsidR="00A1163E" w:rsidRPr="00A1163E" w:rsidRDefault="00A1163E" w:rsidP="00A1163E">
      <w:pPr>
        <w:spacing w:before="100" w:beforeAutospacing="1"/>
        <w:rPr>
          <w:rFonts w:ascii="Times New Roman" w:hAnsi="Times New Roman" w:cs="Times New Roman"/>
          <w:b/>
          <w:sz w:val="24"/>
          <w:szCs w:val="24"/>
          <w:lang w:val="en-US"/>
        </w:rPr>
      </w:pPr>
      <w:r w:rsidRPr="00A1163E">
        <w:rPr>
          <w:rFonts w:ascii="Times New Roman" w:hAnsi="Times New Roman" w:cs="Times New Roman"/>
          <w:b/>
          <w:sz w:val="24"/>
          <w:szCs w:val="24"/>
          <w:lang w:val="en-US"/>
        </w:rPr>
        <w:t>Introduction</w:t>
      </w:r>
    </w:p>
    <w:p w:rsidR="00A1163E" w:rsidRPr="00A1163E" w:rsidRDefault="00A1163E" w:rsidP="00A1163E">
      <w:pPr>
        <w:spacing w:before="100" w:beforeAutospacing="1"/>
        <w:rPr>
          <w:rFonts w:ascii="Times New Roman" w:hAnsi="Times New Roman" w:cs="Times New Roman"/>
          <w:sz w:val="24"/>
          <w:szCs w:val="24"/>
          <w:lang w:val="en-US"/>
        </w:rPr>
      </w:pPr>
      <w:r w:rsidRPr="00A1163E">
        <w:rPr>
          <w:rFonts w:ascii="Times New Roman" w:hAnsi="Times New Roman" w:cs="Times New Roman"/>
          <w:sz w:val="24"/>
          <w:szCs w:val="24"/>
          <w:lang w:val="en-US"/>
        </w:rPr>
        <w:t xml:space="preserve">The </w:t>
      </w:r>
      <w:r w:rsidRPr="00A1163E">
        <w:rPr>
          <w:rFonts w:ascii="Times New Roman" w:hAnsi="Times New Roman" w:cs="Times New Roman"/>
          <w:sz w:val="24"/>
          <w:szCs w:val="24"/>
        </w:rPr>
        <w:t>immunofluorescence is a staining technique that is used to identify the presence of antibodies. Clinical immunology uses three basic types of immunofluorescence techniques that include indirect immunofluorescence, direct immunofluorescence, and complement binding indirect immunofluorescence.</w:t>
      </w:r>
      <w:r w:rsidRPr="00A1163E">
        <w:rPr>
          <w:rFonts w:ascii="Times New Roman" w:hAnsi="Times New Roman" w:cs="Times New Roman"/>
          <w:sz w:val="24"/>
          <w:szCs w:val="24"/>
          <w:lang w:val="en-US"/>
        </w:rPr>
        <w:t xml:space="preserve">This lab test aimed at using Indirect Immunofluorescence assay to visualize a Toll-like receptor TLR-2 on Hela cells. The antigen-antibody reaction was visualized using FITC-conjugated anti-mouse secondary antibody, using fluorescein filters on an Epifluorescence microscope. The indirect Immunofluorescence is a two –step technique that is used to detect body fluid’s circulating antibodies. </w:t>
      </w:r>
    </w:p>
    <w:p w:rsidR="00A1163E" w:rsidRPr="00A1163E" w:rsidRDefault="00A1163E" w:rsidP="00A1163E">
      <w:pPr>
        <w:spacing w:before="100" w:beforeAutospacing="1"/>
        <w:rPr>
          <w:rFonts w:ascii="Times New Roman" w:hAnsi="Times New Roman" w:cs="Times New Roman"/>
          <w:b/>
          <w:sz w:val="24"/>
          <w:szCs w:val="24"/>
          <w:lang w:val="en-US"/>
        </w:rPr>
      </w:pPr>
      <w:r w:rsidRPr="00A1163E">
        <w:rPr>
          <w:rFonts w:ascii="Times New Roman" w:hAnsi="Times New Roman" w:cs="Times New Roman"/>
          <w:b/>
          <w:sz w:val="24"/>
          <w:szCs w:val="24"/>
          <w:lang w:val="en-US"/>
        </w:rPr>
        <w:t>Materials and procedure:</w:t>
      </w:r>
    </w:p>
    <w:p w:rsidR="00A1163E" w:rsidRPr="00A1163E" w:rsidRDefault="00A1163E" w:rsidP="00A1163E">
      <w:pPr>
        <w:spacing w:before="100" w:beforeAutospacing="1"/>
        <w:rPr>
          <w:rFonts w:ascii="Times New Roman" w:hAnsi="Times New Roman" w:cs="Times New Roman"/>
          <w:sz w:val="24"/>
          <w:szCs w:val="24"/>
          <w:lang w:val="en-US"/>
        </w:rPr>
      </w:pPr>
      <w:r w:rsidRPr="00A1163E">
        <w:rPr>
          <w:rFonts w:ascii="Times New Roman" w:hAnsi="Times New Roman" w:cs="Times New Roman"/>
          <w:sz w:val="24"/>
          <w:szCs w:val="24"/>
          <w:lang w:val="en-US"/>
        </w:rPr>
        <w:t xml:space="preserve">During Indirect Immunofluorescence assay, </w:t>
      </w:r>
      <w:r w:rsidRPr="00A1163E">
        <w:rPr>
          <w:rFonts w:ascii="Times New Roman" w:hAnsi="Times New Roman" w:cs="Times New Roman"/>
          <w:sz w:val="24"/>
          <w:szCs w:val="24"/>
        </w:rPr>
        <w:t>1 × 10</w:t>
      </w:r>
      <w:r w:rsidRPr="00A1163E">
        <w:rPr>
          <w:rFonts w:ascii="Times New Roman" w:hAnsi="Times New Roman" w:cs="Times New Roman"/>
          <w:sz w:val="24"/>
          <w:szCs w:val="24"/>
          <w:vertAlign w:val="superscript"/>
        </w:rPr>
        <w:t xml:space="preserve">6 </w:t>
      </w:r>
      <w:r w:rsidRPr="00A1163E">
        <w:rPr>
          <w:rFonts w:ascii="Times New Roman" w:hAnsi="Times New Roman" w:cs="Times New Roman"/>
          <w:sz w:val="24"/>
          <w:szCs w:val="24"/>
        </w:rPr>
        <w:t xml:space="preserve">logarithmic-phase cells were collected by centrifugations and washed twice with cold PBS while adhering to tissue culture wells. </w:t>
      </w:r>
      <w:r w:rsidRPr="00A1163E">
        <w:rPr>
          <w:rFonts w:ascii="Times New Roman" w:hAnsi="Times New Roman" w:cs="Times New Roman"/>
          <w:sz w:val="24"/>
          <w:szCs w:val="24"/>
          <w:lang w:val="en-US"/>
        </w:rPr>
        <w:t xml:space="preserve">1 ml of 4 % paraformaldehyde for 10 min at room temperature was then fixed and the </w:t>
      </w:r>
      <w:r w:rsidRPr="00A1163E">
        <w:rPr>
          <w:rFonts w:ascii="Times New Roman" w:hAnsi="Times New Roman" w:cs="Times New Roman"/>
          <w:sz w:val="24"/>
          <w:szCs w:val="24"/>
        </w:rPr>
        <w:t xml:space="preserve">cells were washed in 1 ml </w:t>
      </w:r>
      <w:r w:rsidRPr="00A1163E">
        <w:rPr>
          <w:rFonts w:ascii="Times New Roman" w:eastAsia="Times New Roman" w:hAnsi="Times New Roman" w:cs="Times New Roman"/>
          <w:sz w:val="24"/>
          <w:szCs w:val="24"/>
        </w:rPr>
        <w:t>phosphate buffered saline</w:t>
      </w:r>
      <w:r w:rsidRPr="00A1163E">
        <w:rPr>
          <w:rFonts w:ascii="Times New Roman" w:hAnsi="Times New Roman" w:cs="Times New Roman"/>
          <w:sz w:val="24"/>
          <w:szCs w:val="24"/>
        </w:rPr>
        <w:t xml:space="preserve"> and permeabilize with Acetone for 10 min at room temperature. The cells were then blocked with 5% BSA for 30 min at room temperature and immediately washed with </w:t>
      </w:r>
      <w:r w:rsidRPr="00A1163E">
        <w:rPr>
          <w:rFonts w:ascii="Times New Roman" w:hAnsi="Times New Roman" w:cs="Times New Roman"/>
          <w:sz w:val="24"/>
          <w:szCs w:val="24"/>
          <w:lang w:val="en-US"/>
        </w:rPr>
        <w:t xml:space="preserve">1ml of 1X phosphate buffered saline. Afterwards, the cells were incubated </w:t>
      </w:r>
      <w:r w:rsidRPr="00A1163E">
        <w:rPr>
          <w:rFonts w:ascii="Times New Roman" w:hAnsi="Times New Roman" w:cs="Times New Roman"/>
          <w:sz w:val="24"/>
          <w:szCs w:val="24"/>
        </w:rPr>
        <w:t xml:space="preserve">with 1:1 dilution of monoclonal antibody for 30 min at room temperature. After incubation, the cells were rinsed with </w:t>
      </w:r>
      <w:r w:rsidRPr="00A1163E">
        <w:rPr>
          <w:rFonts w:ascii="Times New Roman" w:hAnsi="Times New Roman" w:cs="Times New Roman"/>
          <w:sz w:val="24"/>
          <w:szCs w:val="24"/>
          <w:lang w:val="en-US"/>
        </w:rPr>
        <w:t>phosphate buffered saline</w:t>
      </w:r>
      <w:r w:rsidRPr="00A1163E">
        <w:rPr>
          <w:rFonts w:ascii="Times New Roman" w:hAnsi="Times New Roman" w:cs="Times New Roman"/>
          <w:sz w:val="24"/>
          <w:szCs w:val="24"/>
        </w:rPr>
        <w:t xml:space="preserve"> and incubate with Fluorescein isothiocyanate -conjugated secondary antibody (1:100) for 30 min at 37°C and then washed two times with </w:t>
      </w:r>
      <w:r w:rsidRPr="00A1163E">
        <w:rPr>
          <w:rFonts w:ascii="Times New Roman" w:hAnsi="Times New Roman" w:cs="Times New Roman"/>
          <w:sz w:val="24"/>
          <w:szCs w:val="24"/>
          <w:lang w:val="en-US"/>
        </w:rPr>
        <w:t xml:space="preserve">phosphate buffered saline. The results were observed recorded. </w:t>
      </w:r>
    </w:p>
    <w:p w:rsidR="00A1163E" w:rsidRPr="00A1163E" w:rsidRDefault="00A1163E" w:rsidP="00A1163E">
      <w:pPr>
        <w:spacing w:before="100" w:beforeAutospacing="1"/>
        <w:rPr>
          <w:rFonts w:ascii="Times New Roman" w:hAnsi="Times New Roman" w:cs="Times New Roman"/>
          <w:b/>
          <w:sz w:val="24"/>
          <w:szCs w:val="24"/>
          <w:lang w:val="en-US"/>
        </w:rPr>
      </w:pPr>
      <w:r w:rsidRPr="00A1163E">
        <w:rPr>
          <w:rFonts w:ascii="Times New Roman" w:hAnsi="Times New Roman" w:cs="Times New Roman"/>
          <w:b/>
          <w:sz w:val="24"/>
          <w:szCs w:val="24"/>
          <w:lang w:val="en-US"/>
        </w:rPr>
        <w:t>Results</w:t>
      </w:r>
    </w:p>
    <w:p w:rsidR="00A1163E" w:rsidRPr="00A1163E" w:rsidRDefault="00A1163E" w:rsidP="00A1163E">
      <w:pPr>
        <w:spacing w:before="100" w:beforeAutospacing="1"/>
        <w:rPr>
          <w:rFonts w:ascii="Times New Roman" w:hAnsi="Times New Roman" w:cs="Times New Roman"/>
          <w:b/>
          <w:sz w:val="24"/>
          <w:szCs w:val="24"/>
          <w:lang w:val="en-US"/>
        </w:rPr>
      </w:pPr>
      <w:r w:rsidRPr="00A1163E">
        <w:rPr>
          <w:rFonts w:ascii="Times New Roman" w:hAnsi="Times New Roman" w:cs="Times New Roman"/>
          <w:sz w:val="24"/>
          <w:szCs w:val="24"/>
        </w:rPr>
        <w:lastRenderedPageBreak/>
        <w:t xml:space="preserve">Light of one color ( indicating single wavelength)  is emitted and observed from the Hela cells at a low energy when Fluorescein isothiocyanate (FITC) conjugated anti-mouse secondary antibody is used for fluoresce in filters are irradiated with light of a different wavelength. </w:t>
      </w:r>
    </w:p>
    <w:p w:rsidR="00A1163E" w:rsidRPr="00A1163E" w:rsidRDefault="00A1163E" w:rsidP="00A1163E">
      <w:pPr>
        <w:spacing w:before="100" w:beforeAutospacing="1"/>
        <w:rPr>
          <w:rFonts w:ascii="Times New Roman" w:hAnsi="Times New Roman" w:cs="Times New Roman"/>
          <w:b/>
          <w:sz w:val="24"/>
          <w:szCs w:val="24"/>
          <w:lang w:val="en-US"/>
        </w:rPr>
      </w:pPr>
      <w:r w:rsidRPr="00A1163E">
        <w:rPr>
          <w:rFonts w:ascii="Times New Roman" w:hAnsi="Times New Roman" w:cs="Times New Roman"/>
          <w:b/>
          <w:sz w:val="24"/>
          <w:szCs w:val="24"/>
          <w:lang w:val="en-US"/>
        </w:rPr>
        <w:t>Discussion</w:t>
      </w:r>
    </w:p>
    <w:p w:rsidR="00A1163E" w:rsidRPr="00A1163E" w:rsidRDefault="00A1163E" w:rsidP="00A1163E">
      <w:pPr>
        <w:spacing w:before="100" w:beforeAutospacing="1"/>
        <w:rPr>
          <w:rFonts w:ascii="Times New Roman" w:hAnsi="Times New Roman" w:cs="Times New Roman"/>
          <w:b/>
          <w:sz w:val="24"/>
          <w:szCs w:val="24"/>
          <w:lang w:val="en-US"/>
        </w:rPr>
      </w:pPr>
      <w:r w:rsidRPr="00A1163E">
        <w:rPr>
          <w:rFonts w:ascii="Times New Roman" w:hAnsi="Times New Roman" w:cs="Times New Roman"/>
          <w:sz w:val="24"/>
          <w:szCs w:val="24"/>
          <w:lang w:val="en-US"/>
        </w:rPr>
        <w:t>During</w:t>
      </w:r>
      <w:r w:rsidRPr="00A1163E">
        <w:rPr>
          <w:rFonts w:ascii="Times New Roman" w:hAnsi="Times New Roman" w:cs="Times New Roman"/>
          <w:sz w:val="24"/>
          <w:szCs w:val="24"/>
        </w:rPr>
        <w:t xml:space="preserve"> indirect immunofluorescence, a single wavelength light is emitted by the Hella cells</w:t>
      </w:r>
      <w:r w:rsidRPr="00A1163E">
        <w:rPr>
          <w:rFonts w:ascii="Times New Roman" w:hAnsi="Times New Roman" w:cs="Times New Roman"/>
          <w:sz w:val="24"/>
          <w:szCs w:val="24"/>
          <w:lang w:val="en-US"/>
        </w:rPr>
        <w:t xml:space="preserve"> indicating Toll-like receptor TLR-2 on Hela cells and the antigen-antibody reaction was visualized using FITC-conjugated anti-mouse secondary antibody In </w:t>
      </w:r>
      <w:r w:rsidRPr="00A1163E">
        <w:rPr>
          <w:rFonts w:ascii="Times New Roman" w:hAnsi="Times New Roman" w:cs="Times New Roman"/>
          <w:sz w:val="24"/>
          <w:szCs w:val="24"/>
        </w:rPr>
        <w:t>indirect immunofluorescence, allows for the visualization of a specific antigen or protein in cells by binding a specific antibody chemically conjugated with a fluorescent dye.</w:t>
      </w:r>
      <w:r w:rsidRPr="00A1163E">
        <w:rPr>
          <w:rFonts w:ascii="Times New Roman" w:hAnsi="Times New Roman" w:cs="Times New Roman"/>
          <w:sz w:val="24"/>
          <w:szCs w:val="24"/>
          <w:lang w:val="en-US"/>
        </w:rPr>
        <w:t xml:space="preserve">In </w:t>
      </w:r>
      <w:r w:rsidRPr="00A1163E">
        <w:rPr>
          <w:rFonts w:ascii="Times New Roman" w:hAnsi="Times New Roman" w:cs="Times New Roman"/>
          <w:sz w:val="24"/>
          <w:szCs w:val="24"/>
        </w:rPr>
        <w:t>indirect immunofluorescence, the flourochrome is covalently linked to a secondary agent; immunofluorescence.</w:t>
      </w:r>
      <w:r w:rsidRPr="00A1163E">
        <w:rPr>
          <w:rFonts w:ascii="Times New Roman" w:hAnsi="Times New Roman" w:cs="Times New Roman"/>
          <w:sz w:val="24"/>
          <w:szCs w:val="24"/>
          <w:lang w:val="en-US"/>
        </w:rPr>
        <w:t xml:space="preserve"> Permeabilization was done on the cells using PBS to remove lipid bilayer and allow the antibodies to access proteins there were inside the cell and blocking was done to reduce non-specific antibody binding. The cells were constantly washed to remove any non-specific binding and excess antibodies. Fluorophores re-emit absorbed light after excitation. Antibodies are capable of efflorescence and absorb a range of wavelengths at excited states and remit them at ground state. This technique requires </w:t>
      </w:r>
      <w:r w:rsidRPr="00A1163E">
        <w:rPr>
          <w:rFonts w:ascii="Times New Roman" w:hAnsi="Times New Roman" w:cs="Times New Roman"/>
          <w:sz w:val="24"/>
          <w:szCs w:val="24"/>
        </w:rPr>
        <w:t xml:space="preserve">an antibody against protein to be localized and thus the use of epitope-tagged protein is necessitated. </w:t>
      </w:r>
    </w:p>
    <w:p w:rsidR="00A1163E" w:rsidRPr="00A1163E" w:rsidRDefault="00A1163E" w:rsidP="00A1163E">
      <w:pPr>
        <w:spacing w:before="100" w:beforeAutospacing="1"/>
        <w:rPr>
          <w:rFonts w:ascii="Times New Roman" w:hAnsi="Times New Roman" w:cs="Times New Roman"/>
          <w:b/>
          <w:sz w:val="24"/>
          <w:szCs w:val="24"/>
          <w:lang w:val="en-US"/>
        </w:rPr>
      </w:pPr>
      <w:r w:rsidRPr="00A1163E">
        <w:rPr>
          <w:rFonts w:ascii="Times New Roman" w:hAnsi="Times New Roman" w:cs="Times New Roman"/>
          <w:b/>
          <w:sz w:val="24"/>
          <w:szCs w:val="24"/>
          <w:lang w:val="en-US"/>
        </w:rPr>
        <w:t>References;</w:t>
      </w:r>
    </w:p>
    <w:p w:rsidR="00A1163E" w:rsidRPr="00A1163E" w:rsidRDefault="00A1163E" w:rsidP="00A1163E">
      <w:pPr>
        <w:spacing w:before="100" w:beforeAutospacing="1"/>
        <w:rPr>
          <w:rFonts w:ascii="Times New Roman" w:hAnsi="Times New Roman" w:cs="Times New Roman"/>
          <w:bCs/>
          <w:sz w:val="24"/>
          <w:szCs w:val="24"/>
        </w:rPr>
      </w:pPr>
      <w:r w:rsidRPr="00A1163E">
        <w:rPr>
          <w:rFonts w:ascii="Times New Roman" w:hAnsi="Times New Roman" w:cs="Times New Roman"/>
          <w:sz w:val="24"/>
          <w:szCs w:val="24"/>
        </w:rPr>
        <w:t>Alhajj M, Farhana A. Enzyme Linked Immunosorbent Assay (ELISA) [Updated 2020 Mar 27]. In: StatPearls [Internet]. Treasure Island (FL): StatPearls Publishing; 2020 Jan.Available from: https://www.ncbi.nlm.nih.gov/books/NBK555922/</w:t>
      </w:r>
    </w:p>
    <w:p w:rsidR="00A1163E" w:rsidRPr="00A1163E" w:rsidRDefault="00A1163E" w:rsidP="00A1163E">
      <w:pPr>
        <w:spacing w:before="100" w:beforeAutospacing="1"/>
        <w:rPr>
          <w:rFonts w:ascii="Times New Roman" w:hAnsi="Times New Roman" w:cs="Times New Roman"/>
          <w:b/>
          <w:sz w:val="24"/>
          <w:szCs w:val="24"/>
          <w:lang w:val="en-US"/>
        </w:rPr>
      </w:pPr>
    </w:p>
    <w:p w:rsidR="00A1163E" w:rsidRPr="00A1163E" w:rsidRDefault="00A1163E" w:rsidP="00A1163E">
      <w:pPr>
        <w:spacing w:before="100" w:beforeAutospacing="1"/>
        <w:rPr>
          <w:rFonts w:ascii="Times New Roman" w:hAnsi="Times New Roman" w:cs="Times New Roman"/>
          <w:sz w:val="24"/>
          <w:szCs w:val="24"/>
          <w:lang w:val="en-US"/>
        </w:rPr>
      </w:pPr>
    </w:p>
    <w:p w:rsidR="00A1163E" w:rsidRPr="00A1163E" w:rsidRDefault="00A1163E" w:rsidP="00A1163E">
      <w:pPr>
        <w:spacing w:before="100" w:beforeAutospacing="1"/>
        <w:ind w:left="720"/>
        <w:rPr>
          <w:rFonts w:ascii="Times New Roman" w:hAnsi="Times New Roman" w:cs="Times New Roman"/>
          <w:sz w:val="24"/>
          <w:szCs w:val="24"/>
          <w:lang w:val="en-US"/>
        </w:rPr>
      </w:pPr>
    </w:p>
    <w:p w:rsidR="00A1163E" w:rsidRPr="00A1163E" w:rsidRDefault="00A1163E" w:rsidP="00A1163E">
      <w:pPr>
        <w:spacing w:before="100" w:beforeAutospacing="1"/>
        <w:rPr>
          <w:rFonts w:ascii="Times New Roman" w:hAnsi="Times New Roman" w:cs="Times New Roman"/>
          <w:sz w:val="24"/>
          <w:szCs w:val="24"/>
          <w:lang w:val="en-US"/>
        </w:rPr>
      </w:pPr>
    </w:p>
    <w:p w:rsidR="00A1163E" w:rsidRPr="00A1163E" w:rsidRDefault="00A1163E" w:rsidP="00A1163E">
      <w:pPr>
        <w:spacing w:before="100" w:beforeAutospacing="1"/>
        <w:rPr>
          <w:rFonts w:ascii="Times New Roman" w:hAnsi="Times New Roman" w:cs="Times New Roman"/>
          <w:sz w:val="24"/>
          <w:szCs w:val="24"/>
          <w:lang w:val="en-US"/>
        </w:rPr>
      </w:pPr>
    </w:p>
    <w:p w:rsidR="00A1163E" w:rsidRPr="00A1163E" w:rsidRDefault="00A1163E" w:rsidP="00A1163E">
      <w:pPr>
        <w:spacing w:before="100" w:beforeAutospacing="1"/>
        <w:rPr>
          <w:rFonts w:ascii="Times New Roman" w:hAnsi="Times New Roman" w:cs="Times New Roman"/>
          <w:b/>
          <w:sz w:val="24"/>
          <w:szCs w:val="24"/>
          <w:lang w:val="en-US"/>
        </w:rPr>
      </w:pPr>
    </w:p>
    <w:p w:rsidR="00A1163E" w:rsidRPr="00A1163E" w:rsidRDefault="00A1163E" w:rsidP="00A1163E">
      <w:pPr>
        <w:spacing w:before="100" w:beforeAutospacing="1"/>
        <w:rPr>
          <w:rFonts w:ascii="Times New Roman" w:hAnsi="Times New Roman" w:cs="Times New Roman"/>
          <w:b/>
          <w:sz w:val="24"/>
          <w:szCs w:val="24"/>
          <w:lang w:val="en-US"/>
        </w:rPr>
      </w:pPr>
    </w:p>
    <w:p w:rsidR="00A1163E" w:rsidRPr="00A1163E" w:rsidRDefault="00A1163E" w:rsidP="00A1163E">
      <w:pPr>
        <w:spacing w:before="100" w:beforeAutospacing="1"/>
        <w:rPr>
          <w:rFonts w:ascii="Times New Roman" w:hAnsi="Times New Roman" w:cs="Times New Roman"/>
          <w:sz w:val="24"/>
          <w:szCs w:val="24"/>
        </w:rPr>
      </w:pPr>
    </w:p>
    <w:p w:rsidR="00FC04AC" w:rsidRPr="00A1163E" w:rsidRDefault="00FC04AC" w:rsidP="00A1163E">
      <w:pPr>
        <w:spacing w:before="100" w:beforeAutospacing="1"/>
        <w:rPr>
          <w:rFonts w:ascii="Times New Roman" w:hAnsi="Times New Roman" w:cs="Times New Roman"/>
          <w:sz w:val="24"/>
          <w:szCs w:val="24"/>
        </w:rPr>
      </w:pPr>
    </w:p>
    <w:sectPr w:rsidR="00FC04AC" w:rsidRPr="00A116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AD1287"/>
    <w:multiLevelType w:val="hybridMultilevel"/>
    <w:tmpl w:val="FB022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05B"/>
    <w:rsid w:val="000604B9"/>
    <w:rsid w:val="000B5F53"/>
    <w:rsid w:val="001E4EAC"/>
    <w:rsid w:val="00203037"/>
    <w:rsid w:val="00237B81"/>
    <w:rsid w:val="00310292"/>
    <w:rsid w:val="0033459B"/>
    <w:rsid w:val="00353F6F"/>
    <w:rsid w:val="0038691C"/>
    <w:rsid w:val="003928F2"/>
    <w:rsid w:val="0040060C"/>
    <w:rsid w:val="004419F9"/>
    <w:rsid w:val="004B6562"/>
    <w:rsid w:val="004F378B"/>
    <w:rsid w:val="0050673D"/>
    <w:rsid w:val="005972B6"/>
    <w:rsid w:val="005C30D1"/>
    <w:rsid w:val="00670D42"/>
    <w:rsid w:val="00704F3C"/>
    <w:rsid w:val="007073B9"/>
    <w:rsid w:val="008D258C"/>
    <w:rsid w:val="009D2835"/>
    <w:rsid w:val="00A1163E"/>
    <w:rsid w:val="00A9259A"/>
    <w:rsid w:val="00B40781"/>
    <w:rsid w:val="00B64FAC"/>
    <w:rsid w:val="00B9605B"/>
    <w:rsid w:val="00C14D42"/>
    <w:rsid w:val="00C224A0"/>
    <w:rsid w:val="00C354F4"/>
    <w:rsid w:val="00C46D02"/>
    <w:rsid w:val="00C670DE"/>
    <w:rsid w:val="00C72A1A"/>
    <w:rsid w:val="00C75602"/>
    <w:rsid w:val="00D45F02"/>
    <w:rsid w:val="00DB3845"/>
    <w:rsid w:val="00DB5FA2"/>
    <w:rsid w:val="00DD23F8"/>
    <w:rsid w:val="00E12DDC"/>
    <w:rsid w:val="00E471A1"/>
    <w:rsid w:val="00F13667"/>
    <w:rsid w:val="00F35CBC"/>
    <w:rsid w:val="00F5746E"/>
    <w:rsid w:val="00FC0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602"/>
    <w:pPr>
      <w:spacing w:after="0" w:afterAutospacing="0" w:line="240" w:lineRule="auto"/>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602"/>
    <w:pPr>
      <w:spacing w:after="0" w:afterAutospacing="0" w:line="240"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2020-12-01T06:11:00Z</dcterms:created>
  <dcterms:modified xsi:type="dcterms:W3CDTF">2020-12-01T10:51:00Z</dcterms:modified>
</cp:coreProperties>
</file>